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2f196d91ea18f910cb760f20238e787bb8416"/>
    <w:p>
      <w:pPr>
        <w:pStyle w:val="Heading3"/>
      </w:pPr>
      <w:r>
        <w:t xml:space="preserve">Правительство Москвы утвердило порядок отбора подрядчиков для капитального ремонта многоквартирных домов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словам генерального директора Московского городского фонда капитального ремонта Артура Кескинова, этот порядок составлен с учетом норм, предусмотренных федеральным законодательством, включая жёсткую регламентацию, прозрачность всех процедур закупок, антикоррупционный механизм и механизм защиты от недобросовестных конкурентов.</w:t>
      </w:r>
    </w:p>
    <w:p>
      <w:pPr>
        <w:pStyle w:val="BodyText"/>
      </w:pPr>
      <w:r>
        <w:t xml:space="preserve">Порядок подготовлен и представлен на рассмотрение Президиума Правительства. Отбор подрядных организаций будет проводиться на условиях, идентичных отбору поставщиков продукции для государственных нужд.</w:t>
      </w:r>
    </w:p>
    <w:p>
      <w:pPr>
        <w:pStyle w:val="BodyText"/>
      </w:pPr>
      <w:r>
        <w:t xml:space="preserve">У подрядчиков должны быть предусмотренные законодательством допуски и лицензии к работам по капитальному ремонту, а также опыт выполнения таких работ за последние три года. Кроме того, у подрядных организаций не должно быть налоговой задолженности за прошедший календарный год. Среди требований — отсутствие за последние три года контрактов на проведение капитального ремонта, расторгнутых вследствие существенных нарушений. К тому же в подрядчики не может быть допущена организация, упомянутая в реестре недобросовестных поставщиков.</w:t>
      </w:r>
    </w:p>
    <w:p>
      <w:pPr>
        <w:pStyle w:val="BodyText"/>
      </w:pPr>
      <w:r>
        <w:t xml:space="preserve">По словам Кескинова, в ближайшее время будет проведен предварительный отбор – и уже по его результатам сформирован перечень организаций, которых пригласят для участия в основных конкурсах на выполнение работ.</w:t>
      </w:r>
    </w:p>
    <w:p>
      <w:pPr>
        <w:pStyle w:val="BodyText"/>
      </w:pPr>
      <w:r>
        <w:t xml:space="preserve">Впрочем, ежеквартально список допущенных организаций планируется дополнять, при этом отобранные организации, по которым выявят факты отклонения от установленных требований, из него исключат.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http://altufievo.mos.ru/presscenter/news/detail/1723965.html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723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723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2025-03-30T17:40:32Z</dcterms:created>
  <dcterms:modified xsi:type="dcterms:W3CDTF">2025-03-30T17:40:32Z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