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369016f418cd2e4644967f135254e41e05b7a"/>
    <w:p>
      <w:pPr>
        <w:pStyle w:val="Heading3"/>
      </w:pPr>
      <w:r>
        <w:t xml:space="preserve">Наполнение ЕГРН сведениями – ключевое направление столичной Кадастровой палаты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rPr>
          <w:iCs/>
          <w:i/>
        </w:rPr>
        <w:t xml:space="preserve">Учреждение продолжает активную работу по дополнению реестра недвижимости актуальными сведениями</w:t>
      </w:r>
    </w:p>
    <w:p>
      <w:pPr>
        <w:pStyle w:val="BodyText"/>
      </w:pPr>
      <w:r>
        <w:rPr>
          <w:bCs/>
          <w:b/>
        </w:rPr>
        <w:t xml:space="preserve">В минувшем году Росреестр утвердил и реализует федеральную дорожную карту по наполнению Единого государственного реестра недвижимости (ЕГРН) необходимыми сведениями. Эта задача является приоритетной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ведомства. Проект направлен на внесение в ЕГРН отсутствующих сведений, необходимых для защиты прав граждан и юридических лиц, снижения рисков земельных споров, корректного налогообложения и вовлечения в оборот неиспользуемых объектов недвижимости.</w:t>
      </w:r>
    </w:p>
    <w:p>
      <w:pPr>
        <w:pStyle w:val="BodyText"/>
      </w:pPr>
      <w:r>
        <w:t xml:space="preserve">В дорожную карту также включены мероприятия по внесению в ЕГРН недостающих сведений, необходимых для определения кадастровой стоимости объектов недвижимости, отсутствующих данных о правообладателях недвижимого имущества, внесению информации об объектах культурного наследия и особо охраняемых природных территориях.</w:t>
      </w:r>
    </w:p>
    <w:p>
      <w:pPr>
        <w:pStyle w:val="BodyText"/>
      </w:pPr>
      <w:r>
        <w:t xml:space="preserve">Наполнение ЕГРН актуальными и достоверными сведениями – одно</w:t>
      </w:r>
    </w:p>
    <w:p>
      <w:pPr>
        <w:pStyle w:val="BodyText"/>
      </w:pPr>
      <w:r>
        <w:t xml:space="preserve">из ключевых направлений Кадастровой палаты по Москве. В том числе внесение сведений о зонах с особыми условиями использования территорий, особо охраняемых природных территориях, территориях объектов культурного наследия, а также территориальных зонах, что способствует соблюдению установленного законодательством Российской Федерации правового режима использования столичных объектов недвижимости. Всего ЕГРН содержит более 36 тыс. таких сведений.</w:t>
      </w:r>
    </w:p>
    <w:p>
      <w:pPr>
        <w:pStyle w:val="BodyText"/>
      </w:pPr>
      <w:r>
        <w:t xml:space="preserve">Устанавливаются зоны и территории в целях обеспечения безопасности населения и создания благоприятных условий для жизнедеятельности человека, регулирования и ограничения негативного воздействия хозяйственной и иной деятельности на окружающую среду. В границах таких зон и территорий вводится особый режим использования земельных участков. Решения об установлении, изменении или о прекращении существования зон и территорий принимают органы государственной власти и органы местного самоуправления, а затем направляют</w:t>
      </w:r>
    </w:p>
    <w:p>
      <w:pPr>
        <w:pStyle w:val="BodyText"/>
      </w:pPr>
      <w:r>
        <w:t xml:space="preserve">в Кадастровую палату по Москве документы для внесения сведений в ЕГРН.</w:t>
      </w:r>
    </w:p>
    <w:p>
      <w:pPr>
        <w:pStyle w:val="BodyText"/>
      </w:pPr>
      <w:r>
        <w:rPr>
          <w:iCs/>
          <w:i/>
        </w:rPr>
        <w:t xml:space="preserve">«Наличие полных и достоверных сведений в ЕГРН обеспечивает защиту собственности при совершении сделок, позволяет включить в оборот неиспользуемые объекты недвижимости, а также помогает реализовывать инвестиционные проекты и эффективно управлять земельными активами в столице»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http://altufievo.mos.ru/presscenter/true/detail/10102363.html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102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102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2024-07-28T22:11:15Z</dcterms:created>
  <dcterms:modified xsi:type="dcterms:W3CDTF">2024-07-28T22:11:15Z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