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важности наличия актуальных контактных данных в реестре недвижимости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 </w:t>
      </w: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 </w:t>
      </w: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 </w:t>
      </w: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 </w:t>
      </w: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 </w:t>
      </w:r>
      <w:r>
        <w:t xml:space="preserve">не содержатся данные об адресе правообладателя земельного участка, в том числе </w:t>
      </w:r>
      <w:r>
        <w:t xml:space="preserve">об адресе электронной почты, почтовом адресе, указанном в заявлении </w:t>
      </w: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 </w:t>
      </w: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 </w:t>
      </w:r>
      <w:r>
        <w:t xml:space="preserve">из заинтересованных лиц, или получено ранее направленное извещение с отметкой</w:t>
      </w:r>
    </w:p>
    <w:p>
      <w:pPr>
        <w:pStyle w:val="BodyText"/>
      </w:pP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 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http://altufievo.mos.ru/presscenter/true/detail/10326766.html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26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26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2024-07-29T05:33:06Z</dcterms:created>
  <dcterms:modified xsi:type="dcterms:W3CDTF">2024-07-29T05:33:06Z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