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t xml:space="preserve">Приоритетным направлением деятельности столичной Кадастровой палаты является работа с заявителями. Для удобства москвичей в офисе приема по адресу: Шоссе Энтузиастов, д. 14 организовано консультирование граждан 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drawing>
          <wp:inline>
            <wp:extent cx="5334000" cy="36570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603/vfpu8n1fhmqe1c0pp7oo8h03jgu1rq3t/img_1663657923_2774_164_20.1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январе-августе текущего года в столичную Кадастровую палату для получения консультаций обратились почти 20,5 тыс. граждан. Только за август месяц услугами наших экспертов воспользовались 2,35 тыс. человек.</w:t>
      </w:r>
    </w:p>
    <w:p>
      <w:pPr>
        <w:pStyle w:val="BodyText"/>
      </w:pPr>
      <w:r>
        <w:drawing>
          <wp:inline>
            <wp:extent cx="5334000" cy="33202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233/ri9usu77maejxpb8zp0ag3e85virl79v/img_1663657809_7036_316_20.2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0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 Кадастровой палаты,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 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lockText"/>
      </w:pPr>
      <w:r>
        <w:t xml:space="preserve">Виктор Горелышев</w:t>
      </w:r>
    </w:p>
    <w:p>
      <w:pPr>
        <w:pStyle w:val="BlockText"/>
      </w:pPr>
      <w:r>
        <w:t xml:space="preserve">заместитель директора – главный технолог Кадастровой палаты по Москве</w:t>
      </w:r>
    </w:p>
    <w:p>
      <w:pPr>
        <w:pStyle w:val="BlockText"/>
      </w:pPr>
      <w:r>
        <w:t xml:space="preserve">Работа с заявителями для нас всегда в приоритете, консультации проводятся как в офисах приема, так и по телефону в рамках горячих линий. Также москвичи 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</w:t>
      </w:r>
    </w:p>
    <w:p>
      <w:pPr>
        <w:pStyle w:val="FirstParagraph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http://altufievo.mos.ru/presscenter/true/detail/11071677.html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11071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11071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2024-07-29T00:57:05Z</dcterms:created>
  <dcterms:modified xsi:type="dcterms:W3CDTF">2024-07-29T00:57:05Z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