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04098cc5e99b6541dcdd678f00eb1730bcfe85"/>
    <w:p>
      <w:pPr>
        <w:pStyle w:val="Heading3"/>
      </w:pPr>
      <w:r>
        <w:t xml:space="preserve">Столичный Роскадастр продолжает работу по оцифровке реестровых дел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rPr>
          <w:bCs/>
          <w:b/>
        </w:rP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4 месяца 2025 года экспертами оцифровано более 125 тысяч реестровых дел, что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3 раза превышает аналогичные показатели 2024 года. Перевод документов в «цифру» позволит сократить сроки оказания государственных услуг за счет обеспечения оперативного доступа к данным, а также повысит качество данных Единого государственного реестра недвижимости (ЕГРН).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8508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рос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текущем году набирает обороты масштабная работа по переводу документов в электронный вид, нашими работниками уже оцифровано более 3 млн страниц реестровых дел. Для достижения такого результата на работу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филиал принимаются молодые активные специалисты, которые быстро и качественно выполняют поставленные задачи, -</w:t>
      </w:r>
      <w:r>
        <w:t xml:space="preserve"> </w:t>
      </w:r>
      <w:r>
        <w:t xml:space="preserve">отметила заместитель директора филиала ППК «Роскадастр» по Москве</w:t>
      </w:r>
      <w:r>
        <w:t xml:space="preserve"> </w:t>
      </w:r>
      <w:r>
        <w:rPr>
          <w:bCs/>
          <w:b/>
        </w:rPr>
        <w:t xml:space="preserve">Александра Смирнова.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- Наполнение электронного архива исключает риски утраты или порчи документов, а также облегчает доступ к архивным документам».</w:t>
      </w:r>
    </w:p>
    <w:p>
      <w:pPr>
        <w:pStyle w:val="BodyText"/>
      </w:pPr>
      <w:r>
        <w:t xml:space="preserve">В соответствии со стратегией ведения архива специалисты столичного Роскадастра переводят все архивные документы в электронный вид. Все созданные цифровые файлы заверяются электронной подписью специалиста архива и имеют такую же юридическую силу, как и бумажные документы. Электронный архивный фонд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</w:rPr>
        <w:t xml:space="preserve">трёх рабочих дней.</w:t>
      </w:r>
    </w:p>
    <w:p>
      <w:pPr>
        <w:pStyle w:val="BodyText"/>
      </w:pPr>
      <w:r>
        <w:t xml:space="preserve">Обращаем внимание, что в соответствии с Федеральным законом</w:t>
      </w:r>
    </w:p>
    <w:p>
      <w:pPr>
        <w:pStyle w:val="BodyText"/>
      </w:pPr>
      <w:r>
        <w:t xml:space="preserve">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http://altufievo.mos.ru/presscenter/true/detail/12992510.html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12992510.html" TargetMode="External" /><Relationship Type="http://schemas.openxmlformats.org/officeDocument/2006/relationships/hyperlink" Id="rId23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12992510.html" TargetMode="External" /><Relationship Type="http://schemas.openxmlformats.org/officeDocument/2006/relationships/hyperlink" Id="rId23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2025-05-27T12:38:27Z</dcterms:created>
  <dcterms:modified xsi:type="dcterms:W3CDTF">2025-05-27T12:38:27Z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