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6949783bb15fa751c7e6e9f82546821e9ec44"/>
    <w:p>
      <w:pPr>
        <w:pStyle w:val="Heading3"/>
      </w:pPr>
      <w:r>
        <w:t xml:space="preserve">Кадастровая палата по Москве и МФЮА развивают сотрудничество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t xml:space="preserve">9 июля 2019 года заместитель директора Кадастровой палаты по Москве Алексей Некрасов принял участие в переговорах с представителями Московской финансово юридической академии (МФЮА). Рабочая встреча состоялась на базе музейно-выставочного центра ВУЗа.</w:t>
      </w:r>
    </w:p>
    <w:p>
      <w:pPr>
        <w:pStyle w:val="BodyText"/>
      </w:pPr>
      <w:r>
        <w:t xml:space="preserve">В мероприятии от МФЮА приняли участие проректор Светлана Забелина и директор института дополнительного образования Елена Бочкарева.</w:t>
      </w:r>
    </w:p>
    <w:p>
      <w:pPr>
        <w:pStyle w:val="BodyText"/>
      </w:pPr>
      <w:r>
        <w:t xml:space="preserve">В рамках состоявшей встречи Алексей Некрасов рассказал о деятельности Кадастровой палаты по Москве, а также поделился опытом применения информационных технологий при проведении</w:t>
      </w:r>
    </w:p>
    <w:p>
      <w:pPr>
        <w:pStyle w:val="BodyText"/>
      </w:pPr>
      <w:r>
        <w:t xml:space="preserve">учетно-регистрационных действий, цифровизации услуг Росреестра.</w:t>
      </w:r>
    </w:p>
    <w:p>
      <w:pPr>
        <w:pStyle w:val="BodyText"/>
      </w:pPr>
      <w:r>
        <w:t xml:space="preserve">Обсуждались вопросы организации практики студентов в рамках заключенного ранее договора между Кадастровой палатой по Москве и МФЮА. Согласно документу в учреждение ежегодно на производственную и преддипломную практику направляются лучшие студенты ВУЗа. В свою очередь, Кадастровая палата по Москве помогает студентам получить необходимые профессиональные навыки по направлению деятельности, создает комфортные условия для обучения, а также обеспечивает их всеми необходимыми материалами для подготовки преддипломных работ.</w:t>
      </w:r>
    </w:p>
    <w:p>
      <w:pPr>
        <w:pStyle w:val="BodyText"/>
      </w:pPr>
      <w:r>
        <w:t xml:space="preserve">Также в ходе встречи достигнута договоренность о значительном расширении сотрудничества между Кадастровой палатой по Москве и МФЮА в области повышения квалификации студентов и получения ими специальных знаний в сфере земельно-имущественных отношений. Рассмотрена возможность сотрудничества в рамках информатизации, цифровизации образования, использования цифровых технологий</w:t>
      </w:r>
    </w:p>
    <w:p>
      <w:pPr>
        <w:pStyle w:val="BodyText"/>
      </w:pPr>
      <w:r>
        <w:t xml:space="preserve">для совершенствования образовательного процесса.</w:t>
      </w:r>
    </w:p>
    <w:p>
      <w:pPr>
        <w:pStyle w:val="BodyText"/>
      </w:pPr>
      <w:r>
        <w:t xml:space="preserve">По результатам встречи стороны отметили эффективность совместно проводимых мероприятий, направленных на повышение уровня знаний студентов и сотрудников Кадастровой палаты по Москве, а также обозначили новые направления для развития дальнейшего партнерства.</w:t>
      </w:r>
    </w:p>
    <w:p>
      <w:pPr>
        <w:pStyle w:val="BodyText"/>
      </w:pPr>
      <w:r>
        <w:t xml:space="preserve">Для справки:</w:t>
      </w:r>
    </w:p>
    <w:p>
      <w:pPr>
        <w:pStyle w:val="BodyText"/>
      </w:pPr>
      <w:r>
        <w:t xml:space="preserve">МФЮА создана в 1990 году при поддержке правительства Москвы и Ассоциации международного образования. В 2010 году приказом Федеральной службы по надзору в сфере образования и науки МФЮА получила статус университета, подтверждающий значительные достижения в образовательной деятельности. С 2003 года МФЮА занимает I место в российском рейтинге среди аккредитованных негосударственных вузов. Реализует 15 программ среднего профессионального образования, организует обучение по 26 специальностям и направлениям высшего профессионального образования, 5 направлениям аспирантуры, а также программам дополнительного образования.</w:t>
      </w:r>
    </w:p>
    <w:p>
      <w:pPr>
        <w:pStyle w:val="BodyText"/>
      </w:pPr>
      <w:r>
        <w:t xml:space="preserve">Кадастровая палата по Москве сотрудничает с десятками учебных заведений страны. В их число входят такие крупные университеты, как Московский государственный университет геодезии и картографии (МИИГАиК), Государственный университет по землеустройству (ГУЗ), Российский государственный университет правосудия, Российский университет дружбы народов (РУДН), Российский университет транспорта (МИИТ), Московский финансово-юридический университет, Национальный исследовательский ядерный университет «МИФИ»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http://altufievo.mos.ru/presscenter/true/detail/8248092.html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248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248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2025-02-26T10:51:37Z</dcterms:created>
  <dcterms:modified xsi:type="dcterms:W3CDTF">2025-02-26T10:51:37Z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