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d588ac6791cdf8d05121c96db8074872d9ebf"/>
    <w:p>
      <w:pPr>
        <w:pStyle w:val="Heading3"/>
      </w:pPr>
      <w:r>
        <w:t xml:space="preserve">В Москве упрощается порядок внесения в ЕГРН сведений о кадастровой стоимости объектов недвижимости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rPr>
          <w:iCs/>
          <w:i/>
        </w:rPr>
        <w:t xml:space="preserve">Кадастровая палата по Москве заключила четырехстороннее соглашение о взаимодействии при определении кадастровой стоимости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внесении её результатов в Единый государственный реестр недвижимости (ЕГРН).</w:t>
      </w:r>
    </w:p>
    <w:p>
      <w:pPr>
        <w:pStyle w:val="BodyText"/>
      </w:pPr>
      <w:r>
        <w:t xml:space="preserve">8 августа 2019 года Кадастровая палата по Москве, столичное Управление Росреестра, Департамент городского имущества города Москвы и Государственное бюджетное учреждение города Москвы «Центр имущественных платежей и жилищного страхования» заключили соглашение о взаимодействии при реализации требований Федерального закона от 03.07.2016 № 237-ФЗ «О государственной кадастровой оценке»</w:t>
      </w:r>
    </w:p>
    <w:p>
      <w:pPr>
        <w:pStyle w:val="BodyText"/>
      </w:pPr>
      <w:r>
        <w:t xml:space="preserve">(Закон об оценке).</w:t>
      </w:r>
    </w:p>
    <w:p>
      <w:pPr>
        <w:pStyle w:val="BodyText"/>
      </w:pPr>
      <w:r>
        <w:t xml:space="preserve">Данное соглашение подписано в целях повышения эффективности</w:t>
      </w:r>
    </w:p>
    <w:p>
      <w:pPr>
        <w:pStyle w:val="BodyText"/>
      </w:pPr>
      <w:r>
        <w:t xml:space="preserve">и совершенствования деятельности ведомств, при выполнении ими задач по определению и внесению в ЕГРН сведений о кадастровой стоимости объектов недвижимости на территории города Москвы.</w:t>
      </w:r>
    </w:p>
    <w:p>
      <w:pPr>
        <w:pStyle w:val="BodyText"/>
      </w:pPr>
      <w:r>
        <w:t xml:space="preserve">Предметом соглашения является установление правил информационного взаимодействия сторон, в рамках осуществления</w:t>
      </w:r>
    </w:p>
    <w:p>
      <w:pPr>
        <w:pStyle w:val="BodyText"/>
      </w:pPr>
      <w:r>
        <w:t xml:space="preserve">ими функций, предусмотренных статьями 16 и 21 Закона об оценке</w:t>
      </w:r>
    </w:p>
    <w:p>
      <w:pPr>
        <w:pStyle w:val="BodyText"/>
      </w:pPr>
      <w:r>
        <w:t xml:space="preserve">и статьей 61 Федерального закона от 13.07.2015 № 218-ФЗ</w:t>
      </w:r>
    </w:p>
    <w:p>
      <w:pPr>
        <w:pStyle w:val="BodyText"/>
      </w:pPr>
      <w:r>
        <w:t xml:space="preserve">«О государственной регистрации недвижимости».</w:t>
      </w:r>
    </w:p>
    <w:p>
      <w:pPr>
        <w:pStyle w:val="BodyText"/>
      </w:pPr>
      <w:r>
        <w:t xml:space="preserve">В частности, документом регламентирован порядок определения кадастровой стоимости вновь учтенных объектов недвижимости, ранее учтенных объектов недвижимости в случае внесения в ЕГРН сведений</w:t>
      </w:r>
    </w:p>
    <w:p>
      <w:pPr>
        <w:pStyle w:val="BodyText"/>
      </w:pPr>
      <w:r>
        <w:t xml:space="preserve">о них, а также объектов недвижимости, в отношении которых произошло изменение их количественных и качественных характеристик. Кроме того,</w:t>
      </w:r>
    </w:p>
    <w:p>
      <w:pPr>
        <w:pStyle w:val="BodyText"/>
      </w:pPr>
      <w:r>
        <w:t xml:space="preserve">в целях реализации Закона об оценке, установлен порядок пересчета кадастровой стоимости при выявлении ошибок, допущенных при</w:t>
      </w:r>
    </w:p>
    <w:p>
      <w:pPr>
        <w:pStyle w:val="BodyText"/>
      </w:pPr>
      <w:r>
        <w:t xml:space="preserve">их определении.</w:t>
      </w:r>
    </w:p>
    <w:p>
      <w:pPr>
        <w:pStyle w:val="BodyText"/>
      </w:pPr>
      <w:r>
        <w:rPr>
          <w:iCs/>
          <w:i/>
        </w:rPr>
        <w:t xml:space="preserve">«Экспертами Кадастровой палаты по Москве проводятся</w:t>
      </w:r>
    </w:p>
    <w:p>
      <w:pPr>
        <w:pStyle w:val="BodyText"/>
      </w:pPr>
      <w:r>
        <w:rPr>
          <w:iCs/>
          <w:i/>
        </w:rPr>
        <w:t xml:space="preserve">все мероприятия, необходимые для определения кадастровой стоимости объектов недвижимости. С 2019 года в ЕГРН уже внесены сведения о кадастровой стоимости более 300 тысяч столичных объектов недвижимости»,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с 1 января 2019 года определение кадастровой стоимости осуществляется ГБУ города Москвы «Городской центр имущественных платежей и 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 в соответствии с их функциональным назначением.</w:t>
      </w:r>
    </w:p>
    <w:p>
      <w:pPr>
        <w:pStyle w:val="BodyText"/>
      </w:pPr>
      <w:r>
        <w:t xml:space="preserve">Ознакомиться с результатами проведения государственной кадастровой оценки, а также получить информацию о кадастровой стоимости объектов недвижимости можно на официальном сайте Росреестра (</w:t>
      </w:r>
      <w:hyperlink r:id="rId20">
        <w:r>
          <w:rPr>
            <w:rStyle w:val="Hyperlink"/>
          </w:rPr>
          <w:t xml:space="preserve">rosreestr.ru</w:t>
        </w:r>
      </w:hyperlink>
      <w:r>
        <w:t xml:space="preserve">) в разделе «Электронные услуги и сервисы».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http://altufievo.mos.ru/presscenter/true/detail/8341951.html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Remenukka/AppData/Local/Microsoft/Windows/Temporary%20Internet%20Files/Content.Outlook/PNOAMYMW/rosreestr.ru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34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Remenukka/AppData/Local/Microsoft/Windows/Temporary%20Internet%20Files/Content.Outlook/PNOAMYMW/rosreestr.ru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34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2024-10-06T13:51:02Z</dcterms:created>
  <dcterms:modified xsi:type="dcterms:W3CDTF">2024-10-06T13:51:02Z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