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a694774e01cd78ba5f70ae9a5e61684716944"/>
    <w:p>
      <w:pPr>
        <w:pStyle w:val="Heading3"/>
      </w:pPr>
      <w:r>
        <w:t xml:space="preserve">В ЕГРН содержится почти 30% всех границ населенных пунктов России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rPr>
          <w:iCs/>
          <w:i/>
        </w:rPr>
        <w:t xml:space="preserve">По сравнению с прошлым годом количество внесенных в реестр недвижимости сведений о границах населенных пунктов увеличилось на 31%.</w:t>
      </w:r>
    </w:p>
    <w:p>
      <w:pPr>
        <w:pStyle w:val="BodyText"/>
      </w:pPr>
      <w:r>
        <w:rPr>
          <w:bCs/>
          <w:b/>
        </w:rPr>
        <w:t xml:space="preserve">В 2019 году Федеральная кадастровая палата внесла в Единый государственный реестр недвижимости сведения о 10 953 границах населенных пунктов. Всего в государственном реестре по состоянию на 1 января 2020 года содержатся сведения о 46 184 границах населенных пунктов.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стране – немногим более 155,7 тысяч населенных пунктов. Таким образом, на начало 2020 года ЕГРН содержит сведения почти о 30% границ населенных пунктов.</w:t>
      </w:r>
    </w:p>
    <w:p>
      <w:pPr>
        <w:pStyle w:val="BodyText"/>
      </w:pPr>
      <w:r>
        <w:t xml:space="preserve">В 2019 году Единый государственный реестр недвижимости (ЕГРН) пополнили сведения о 10 953 границах населенных пунктов. По состоянию </w:t>
      </w:r>
      <w:r>
        <w:t xml:space="preserve">на 1 января 2020 года в нем содержатся сведения о 46 184 границах населенных пунктов. Таким образом, прирост по отношению к 2018 году составил почти 31%. Всего в России немногим более 155,7 тысяч населенных пунктов. Таким образом, </w:t>
      </w:r>
    </w:p>
    <w:p>
      <w:pPr>
        <w:pStyle w:val="BodyText"/>
      </w:pPr>
      <w:r>
        <w:t xml:space="preserve">на начало 2020 года ЕГРН содержит сведения почти о 30% границ населенных пунктов.</w:t>
      </w:r>
    </w:p>
    <w:p>
      <w:pPr>
        <w:pStyle w:val="BodyText"/>
      </w:pPr>
      <w:r>
        <w:t xml:space="preserve">В минувшем году реестр границ пополнился сведениями и о границах региональных столиц – Кургана и Новосибирска. Всего в ЕГРН содержатся сведения почти о 40 столицах различных субъектов федерации. В частности, сведения о границах городов: Москва, Абакан, Барнаул, Биробиджан, Благовещенск, Великий Новгород, Владивосток, Волгоград, Горно-Алтайск, Грозный, Иркутск, Ижевск, Казань, Калуга, Киров, Кострома, Краснодар, Курган, Липецк, Магадан, Майкоп, Мурманск, Нижний Новгород, Новосибирск, Салехард, Саратов, Тамбов, Тула, Тюмень, Ульяновск, Хабаровск, Ханты-Мансийск, Чебоксары, Улан-Удэ, Элиста, Южно-Сахалинск, Якутск.</w:t>
      </w:r>
    </w:p>
    <w:p>
      <w:pPr>
        <w:pStyle w:val="BodyText"/>
      </w:pPr>
      <w:r>
        <w:rPr>
          <w:iCs/>
          <w:i/>
        </w:rPr>
        <w:t xml:space="preserve">«Столичной Кадастровой палатой совместно с Департаментом городского имущества города Москвы в полном объеме внесены в ЕГРН сведения о границе населенного пункта города Москвы,</w:t>
      </w:r>
      <w:r>
        <w:t xml:space="preserve"> </w:t>
      </w:r>
      <w:r>
        <w:t xml:space="preserve">- сообщила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 -</w:t>
      </w:r>
      <w:r>
        <w:t xml:space="preserve"> </w:t>
      </w:r>
      <w:r>
        <w:rPr>
          <w:iCs/>
          <w:i/>
        </w:rPr>
        <w:t xml:space="preserve">Внесенные в ЕГРН сведения о границах населенных пунктов помогают сократить число земельных споров между правообладателями и улучшить качество управления территориями и земельными ресурсами».</w:t>
      </w:r>
    </w:p>
    <w:p>
      <w:pPr>
        <w:pStyle w:val="BodyText"/>
      </w:pPr>
      <w:r>
        <w:t xml:space="preserve">Согласно действующему законодательству, работы по установлению точных границ инициируют региональные и местные администрации, они же направляют полученные сведения в Кадастровую палату. Лучше всего с задачей справляются </w:t>
      </w:r>
    </w:p>
    <w:p>
      <w:pPr>
        <w:pStyle w:val="BodyText"/>
      </w:pPr>
      <w:r>
        <w:t xml:space="preserve">в Москве и Чувашской республике, там в ЕГРН внесено 100 и 99,1% границ населенных пунктов соответственно. В Белгородской области внесено 96,8%, </w:t>
      </w:r>
    </w:p>
    <w:p>
      <w:pPr>
        <w:pStyle w:val="BodyText"/>
      </w:pPr>
      <w:r>
        <w:t xml:space="preserve">в Краснодарском крае – 94,4%, В Тюменской области – 88%, в Республике Бурятия – 87,5%, в Алтайском крае – 87,5%, а во Владимирской области – 84,5%.</w:t>
      </w:r>
    </w:p>
    <w:p>
      <w:pPr>
        <w:pStyle w:val="BodyText"/>
      </w:pPr>
      <w:r>
        <w:t xml:space="preserve">Земельный кодекс РФ уточняет, что под установлением границ следует понимать утверждение или изменение генерального плана населенного пункта, </w:t>
      </w:r>
      <w:r>
        <w:t xml:space="preserve">а также утверждение или изменение схемы территориального планирования, отображающей границы сельских населенных пунктов, расположенных </w:t>
      </w:r>
      <w:r>
        <w:t xml:space="preserve">за пределами границ поселений.</w:t>
      </w:r>
    </w:p>
    <w:p>
      <w:pPr>
        <w:pStyle w:val="BodyText"/>
      </w:pPr>
      <w:r>
        <w:t xml:space="preserve">Границы населенных пунктов отделяют их земли от земель иных категорий. На землях населенных пунктов разрешено строительство жилых домов, возведение социальных объектов и объектов ЖКХ.</w:t>
      </w:r>
    </w:p>
    <w:p>
      <w:pPr>
        <w:pStyle w:val="BodyText"/>
      </w:pPr>
      <w:r>
        <w:t xml:space="preserve">Важно помнить, что при включении частных земельных участков в границы населенных пунктов, права собственников, равно как и арендаторов, сохраняются </w:t>
      </w:r>
      <w:r>
        <w:t xml:space="preserve">за ними в полном объеме, отмечают эксперты Федеральной кадастровой палаты.</w:t>
      </w:r>
    </w:p>
    <w:p>
      <w:pPr>
        <w:pStyle w:val="BodyText"/>
      </w:pPr>
      <w:r>
        <w:t xml:space="preserve">В состав земель населенных пунктов могут входить земельные участки, отнесенные к различным территориальным зонам. Такие зоны могут быть жилыми, производственными, общественно-деловыми и рекреационными, зонами инженерных и транспортных инфраструктур и так далее. Границы </w:t>
      </w:r>
      <w:r>
        <w:t xml:space="preserve">и градостроительные регламенты для каждой территориальной зоны определяются правилами землепользования и застройки. Земельный кодекс особо оговаривает обязательность исполнения градостроительных регламентов всеми собственниками земельных участков независимо от форм собственности и иных прав на земельные участки.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http://altufievo.mos.ru/presscenter/true/detail/8747794.html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747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747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2025-06-08T07:16:27Z</dcterms:created>
  <dcterms:modified xsi:type="dcterms:W3CDTF">2025-06-08T07:16:27Z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