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ибдд-информирует"/>
    <w:p>
      <w:pPr>
        <w:pStyle w:val="Heading3"/>
      </w:pPr>
      <w:r>
        <w:t xml:space="preserve">ГИБДД информирует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rPr>
          <w:bCs/>
          <w:b/>
        </w:rPr>
        <w:t xml:space="preserve">По итогам 2023 года на территории Северо- Восточного административного округа города Москвы сформировалось 15 мест концентрации дорожно-транспортных происшествии («очаги» аварийности), в которых зафиксировано 54 дорожно-транспортных происшествия, пострадало 78 человек, 7 из которых дети.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Перечень мест концентрации ДТП за 2023г.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http://altufievo.mos.ru/security/detail/12214436.html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48;&#1041;&#1044;&#1044;%20&#1080;&#1085;&#1092;&#1086;&#1088;&#1084;&#1080;&#1088;&#1091;&#1077;&#1090;.pdf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12214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48;&#1041;&#1044;&#1044;%20&#1080;&#1085;&#1092;&#1086;&#1088;&#1084;&#1080;&#1088;&#1091;&#1077;&#1090;.pdf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12214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2025-04-10T01:12:15Z</dcterms:created>
  <dcterms:modified xsi:type="dcterms:W3CDTF">2025-04-10T01:12:15Z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