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9f1939029372f6fe00db8c513b8aae0a5943c"/>
    <w:p>
      <w:pPr>
        <w:pStyle w:val="Heading3"/>
      </w:pPr>
      <w:r>
        <w:t xml:space="preserve">Проведенные профилактические мероприятия АТК в Алтуфьевском районе за I квартал 2016 года</w:t>
      </w:r>
    </w:p>
    <w:p>
      <w:pPr>
        <w:pStyle w:val="FirstParagraph"/>
      </w:pPr>
      <w:r>
        <w:t xml:space="preserve">20.05.2016</w:t>
      </w:r>
    </w:p>
    <w:p>
      <w:pPr>
        <w:pStyle w:val="BodyText"/>
      </w:pPr>
      <w:r>
        <w:t xml:space="preserve">В рамках проведения профилактических антитеррористических мероприятий по комплексной безопасности Алтуфьевского района, в период с 01.01.2016 по 31.03.2016 проверено 115 многоквартирных дома. В результате чего выявлено:</w:t>
      </w:r>
    </w:p>
    <w:p>
      <w:pPr>
        <w:pStyle w:val="BodyText"/>
      </w:pPr>
      <w:r>
        <w:t xml:space="preserve">- запорные устройства во всех подъездах (393 запорных устройств) – исправны,</w:t>
      </w:r>
    </w:p>
    <w:p>
      <w:pPr>
        <w:pStyle w:val="BodyText"/>
      </w:pPr>
      <w:r>
        <w:t xml:space="preserve">- кодовые замки во всех подъездах (393 кодовых замков) – исправны,</w:t>
      </w:r>
    </w:p>
    <w:p>
      <w:pPr>
        <w:pStyle w:val="BodyText"/>
      </w:pPr>
      <w:r>
        <w:t xml:space="preserve">- незначительная часть систем видеонаблюдения требует регулировки. Данные неисправности устраняются обслуживающей организацией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Проверены на предмет опечатывания 96 чердачных помещений, 115 подвальных помещений, 225 мусоросборников, 115 иных технических помещений. Посторонних лиц и подозрительных предметов и вещей не выявлено. Все помещения закрыты и опечатаны.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http://altufievo.mos.ru/security/detail/2979631.html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29796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29796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2025-04-10T01:14:59Z</dcterms:created>
  <dcterms:modified xsi:type="dcterms:W3CDTF">2025-04-10T01:14:59Z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