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a026ba5aa8527e8ec59fe40cc9649e3d50c619"/>
    <w:p>
      <w:pPr>
        <w:pStyle w:val="Heading3"/>
      </w:pPr>
      <w:r>
        <w:t xml:space="preserve">В марте состоялось заседание Рабочей группы по вопросам межэтнических отношений, формирования гражданской солидарности, противодействия экстремизму в молодежной среде</w:t>
      </w:r>
    </w:p>
    <w:p>
      <w:pPr>
        <w:pStyle w:val="FirstParagraph"/>
      </w:pPr>
      <w:r>
        <w:t xml:space="preserve">16.04.2018</w:t>
      </w:r>
    </w:p>
    <w:p>
      <w:pPr>
        <w:pStyle w:val="BodyText"/>
      </w:pPr>
      <w:r>
        <w:drawing>
          <wp:inline>
            <wp:extent cx="3628505" cy="2086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505" cy="2086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tufievo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127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tufievo.mos.ru/ww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http://altufievo.mos.ru/security/detail/7268801.html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7268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tufievo.mos.ru" TargetMode="External" /><Relationship Type="http://schemas.openxmlformats.org/officeDocument/2006/relationships/hyperlink" Id="rId29" Target="http://altufievo.mos.ru/security/detail/7268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2025-02-10T04:22:09Z</dcterms:created>
  <dcterms:modified xsi:type="dcterms:W3CDTF">2025-02-10T04:22:09Z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