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tbl>
      <w:tblPr>
        <w:tblpPr w:leftFromText="181" w:rightFromText="181" w:vertAnchor="text" w:tblpX="2" w:tblpY="2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37678E" w:rsidTr="00AF3AAE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</w:tr>
      <w:tr w:rsidR="0037678E" w:rsidTr="00AF3AAE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КОДЫ</w:t>
            </w:r>
          </w:p>
        </w:tc>
      </w:tr>
      <w:tr w:rsidR="0037678E" w:rsidTr="00AF3AAE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2022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по ОКУД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0503160</w:t>
            </w:r>
          </w:p>
        </w:tc>
      </w:tr>
      <w:tr w:rsidR="0037678E" w:rsidTr="00AF3AA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678E" w:rsidTr="00AF3AAE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</w:tr>
      <w:tr w:rsidR="0037678E" w:rsidTr="00AF3AAE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13531791</w:t>
            </w:r>
          </w:p>
        </w:tc>
      </w:tr>
      <w:tr w:rsidR="0037678E" w:rsidTr="00AF3AAE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678E" w:rsidTr="00AF3AAE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678E" w:rsidTr="00AF3AAE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678E" w:rsidTr="00AF3AAE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78E">
              <w:rPr>
                <w:rFonts w:ascii="Times New Roman" w:hAnsi="Times New Roman" w:cs="Times New Roman"/>
                <w:color w:val="000000"/>
                <w:lang w:eastAsia="en-US"/>
              </w:rPr>
              <w:t>управа Алтуфьевского района города Москвы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по БК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941 </w:t>
            </w:r>
          </w:p>
        </w:tc>
      </w:tr>
      <w:tr w:rsidR="0037678E" w:rsidTr="00AF3AAE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бюджета (публично-правового образования)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 города 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style461"/>
                <w:lang w:val="en-US" w:eastAsia="en-US"/>
              </w:rPr>
              <w:t>45350000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</w:tr>
      <w:tr w:rsidR="0037678E" w:rsidTr="00AF3AAE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678E" w:rsidTr="00AF3AAE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Периодичность: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квартальная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7678E" w:rsidTr="00AF3AAE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измерения: руб.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383</w:t>
            </w:r>
          </w:p>
        </w:tc>
      </w:tr>
      <w:tr w:rsidR="0037678E" w:rsidTr="00AF3AA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78E" w:rsidRDefault="0037678E" w:rsidP="00AF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78E" w:rsidTr="00AF3AA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</w:tr>
      <w:tr w:rsidR="0037678E" w:rsidTr="00AF3AAE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</w:tr>
      <w:tr w:rsidR="0037678E" w:rsidTr="00AF3AA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</w:tr>
      <w:tr w:rsidR="0037678E" w:rsidTr="00AF3AAE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678E" w:rsidRDefault="0037678E" w:rsidP="00AF3AAE">
            <w:pPr>
              <w:rPr>
                <w:sz w:val="20"/>
                <w:szCs w:val="20"/>
              </w:rPr>
            </w:pPr>
          </w:p>
        </w:tc>
      </w:tr>
    </w:tbl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 «Организационная структура субъекта бюджетной отчетности»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месте нахождения и организационно-правовой форме субъекта отчетности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наименование: управа Алтуфьевского района города Москвы. Юридический адрес: 127549, Москва, Алтуфьевское ш., д.56а Фактический адрес:127549, Москва, Алтуфьевское ш., д.56а </w:t>
            </w: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изменениях наименования субъекта за отчетный период, если такие изменения производились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отсутствуют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учредителя субъекта отчетности (для подведомственных получателей бюджетных средств)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Префектура СВАО города Москвы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наличии филиалов (обособленных подразделений) учреждения по состоянию на отчетную дату с указанием причин, произошедших в течение отчетного периода изменений количества филиалов (обособленных подразделений)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отсутствуют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изменении состава бюджетных полномочий получателей, распорядителей бюджетных средств, находящихся в ведении главного распорядителя (распорядителя) бюджетных средств, а также администраторов находящихся в ведении главных администраторов источников финансирования дефицита бюджета, главных администраторов доходов бюджета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отсутствуют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передаче полномочий по ведению бухгалтерского учета иному учреждению (централизованной бухгалтерии) на основании договора (соглашения) с указанием их реквизитов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исполнителе (ФИО, должность) централизованной бухгалтерии, составившем бухгалтерскую отчетность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Иная информация,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Прочая информация </w:t>
            </w:r>
          </w:p>
          <w:p w:rsidR="0037678E" w:rsidRDefault="0037678E" w:rsidP="00AF3AAE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 «Результаты деятельности субъекта бюджетной отчетности»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Информация, оказавшая существенное влияние и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Иная информация о результатах деятельности субъекта бюджетной отчетности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 «Анализ отчета об исполнении бюджета субъектом бюджетной отчетности»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принятых субъектом отчетности обязательствах (денежных обязательствах), исполнение которых предусмотрено в соответствующих финансовых годах, следующих за отчетным годом (на основании ф. 0503128)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принятии бюджетных обязательств (денежных обязательств) сверх утвержденного субъекту бюджетной отчетности на финансовый год объема бюджетных ассигнований и (или) лимитов бюджетных обязательств (на основании ф. 0503128, а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так же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 составе годовой отчетности на основании ф. 0503175)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Сведения, раскрывающие информацию о ходе реализации государственными (муниципальными) бюджетными и автономными учреждениями национальных проектов (программ), комплексного плана модернизации и расширения магистральной 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инфраструктуры (региональных проектов в составе национальных проектов) за счет средств субсидии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(на основании ф. 0503128-НП)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сумме курсовой разницы, отраженной в ф. 0503127 в разрезе следующих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показателей:-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положительная курсовая разница;- отрицательная курсовая разница;- начисленная по доходам или расходам;-  наименование контрагентов и мероприятий, по которым осуществляются расчеты в иностранной валюте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информация, оказавшая существенное влияние и характеризующая результаты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исполнения  бюджета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субъектом бюджетной отчетности, не отраженная в таблицах и приложениях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причинах увеличения дебиторской и кредиторской задолженности, в том числе просроченной, по состоянию на отчетную дату в сравнении с данными за аналогичный отчетный период прошлого финансового года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Информация представлена в приложении к Пояснительной записке «Анализ дебиторской (кредиторской) задолженности к ф. 0503169»</w:t>
            </w: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остатков  дебиторской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(кредиторской) задолженности, в том числе просроченной  на конец отчетного периода (на основании ф. 0503169). 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Информация представлена в приложении к Пояснительной записке «Анализ дебиторской (кредиторской) задолженности к ф. 0503169»</w:t>
            </w: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по показателям, отраженным со знаком «минус» в ф. 0503169 по увеличению и (или) уменьшению дебиторской (кредиторской) задолженности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Информация  представлена в приложении к пояснительной записке</w:t>
            </w: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выявленных недостачах денежных средств и денежных документов, а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так же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принимаемые меры для обеспечения их сохранности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просроченной дебиторской (кредиторской) задолженности, отраженной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 ф.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0503169 с кодом причин: 05 - иные причины возникновения просроченной кредиторской задолженности; 89 - иные причины возникновения просроченной дебиторской задолженности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Просроченная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задолженность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финансов,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отраженных  в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ф. 0503173 по коду причины «02»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об ошибках предшествующих годов, отраженных после утверждения бухгалтерской отчетности в ф. 0503173 по кодам причин «03» и «07»:- описание ошибки;- сумма корректировки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показатели;- общая сумма корректировки на начало самого раннего из предшествующих годов, для которого в бухгалтерской  отчетности раскрываются сравнительные показатели;- описание причин, по которым корректировка сравнительных показателей бухгалтерской отчетности за один или несколько предшествующих годов не представляется возможным, а также способа отражения исправления ошибки с указанием периода, в котором отражены исправления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суммах корректировок, связанных с ретроспективным применением измененной учетной политики с указанием обоснования и содержания ее изменения, порядок 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отражения последствий изменений в отчетности, включая указание на обстоятельства, в связи с которыми применяется выбранный способ ведения бухгалтерского учета, и дату, с которой он применяется по показателям, отраженным по коду причины «04» в ф. 0503173;                                                                                                             2. Информация о суммах корректировок при ретроспективном применении измененной учетной политики, раскрывающая:-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показатели;- суммы корректировок, относящихся к годам, предшествующим тем, для которых в отчетности субъекта учета раскрываются сравнительные показатели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по показателям, отраженным по коду причины 06 «Иные причины» в ф. 0503173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Информация,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отсутствия по ним операций в течении 2-х и более лет (на основании ф. 0503178-бюджетная деятельность)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Информация, о причинах (целях) открытия счетов в кредитных организациях, о причинах образования остатка денежных средств на счетах в кредитной организации (на основании ф. 0503178-средства во временном распоряжении)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суммах денежных потоков между субъектом отчетности и организацией, доля участия субъекта отчетности в капитале которой составляет более 20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%  голосующих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акций (долей, паев, вкладов),  по направлениям поступлений и выбытий денежных средств (ф. 0503123)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составе денежных средств и эквивалентов денежных средств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Информация в отношении каждого приобретения или продажи организации, доля участия субъекта отчетности в капитале (имуществе) которой составляет более 50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%  голосующих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акций (долей, паев, вкладов): - общая сумма дохода или расхода от операции приобретения или продажи организации;- сумма денежных потоков, полученных или уплаченных от операции приобретения или продажи организации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 остаткам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отраженным по счету бюджетного учета 120134000 «Касса» 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Остатки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суммах:-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дебиторской задолженности, признанной по необменным операциям;- изменений доходов будущих периодов по видам доходов;- обязательств по авансовым поступлениям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Информация отражена в ф. 0503169 и приложении к Пояснительной записке «Анализ дебиторской (кредиторской) задолженности к ф. 0503169»</w:t>
            </w: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об объектах учета выплат персоналу: - о сумме задолженности по текущим выплатам персоналу на начало и конец отчетного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периода;-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 сумме резерва предстоящих расходов по выплатам персоналу (отложенных выплат персоналу) на начало и конец отчетного периода по каждому виду обязанностей по выплатам персоналу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Задолженность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сумме корректировок (увеличений, уменьшений) величины резерва предстоящих расходов по выплатам персоналу (отложенных выплат персоналу) по каждому виду отложенных выплат персоналу  в структуре оснований:                                                                                                                 - признание объектов учета отложенных выплат персоналу; - признание объектов учета текущих выплат персоналу за счет сумм ранее признанного резерва;                                                                                                                            - корректировка резерва в части избыточно начисленных сумм резерва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пенсионных и иных аналогичных выплатах на плановый период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(пояснения) о некассовых операциях, отраженных в Отчете (ф. 0503127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 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(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характеристика операций) 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  <w:p w:rsidR="0037678E" w:rsidRPr="0037678E" w:rsidRDefault="0037678E" w:rsidP="00AF3AAE">
            <w:pPr>
              <w:ind w:right="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Перечень правовых актов главного распорядителя бюджетных средств, главного администратора источников финансирования дефицита бюджета, главного администратора доходов бюджетов, регулирующих ведение бюджетного (бухгалтерского) учета и составление отчетности  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Федеральный закон от 06.12.2011 №402-ФЗ «О бухгалтерском учете», Инструкция о </w:t>
            </w:r>
            <w:proofErr w:type="spellStart"/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порядкесоставления</w:t>
            </w:r>
            <w:proofErr w:type="spellEnd"/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представления годовой, квартальной и месячной отчетности об исполнении </w:t>
            </w:r>
            <w:proofErr w:type="spellStart"/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бюджетовбюджетной</w:t>
            </w:r>
            <w:proofErr w:type="spellEnd"/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системы РФ, утвержденная приказом Минфина России от 28.12.2010 № 191н ( ред. от02.11.2017г.)"Об утверждении Инструкции о порядке составления и представления </w:t>
            </w:r>
            <w:proofErr w:type="spellStart"/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годовой,квартальной</w:t>
            </w:r>
            <w:proofErr w:type="spellEnd"/>
            <w:r w:rsidRPr="00376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месячной отчетности  об исполнении бюджетов бюджетной системы Российской Федерации"</w:t>
            </w: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событиях, произошедших в период между отчетной датой и датой утверждения бухгалтерской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отчетности  по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долговым обязательствам, классифицированным как краткосрочные:- рефинансирование на долгосрочный период;- устранение нарушения соглашения о долгосрочном финансировании;-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задолженности по исполнительным документам и правовом основании ее возникновения, отраженная в ф. 0503296 с указанием причин неисполнения обязательств, в том числе по КОСГУ 296, КОСГУ 297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просроченной кредиторской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задолженности  отраженная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 ф. 0503387 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«Справочная таблица к отчету об исполнении консолидированного бюджета субъекта Российской Федерации» 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информация отраженная в ф. 0503387 «Справочная таблица к отчету об исполнении консолидированного бюджета субъекта Российской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Федерации»  и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требующая пояснения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причинах наличия допустимых отклонений показателей отчета ф.0503324 данным, отраженным в Отчете ф. 0531888, формируемом Управлением Федерального казначейства по г. Москве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 полученных межбюджетных трансфертах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находящихся на отчетную дату на счете территориального органа Федерального казначейства, открытом на балансовом счете 40101 «Доходы, распределяемые органами Федерального казначейства между уровнями бюджетной системы Российской Федерации» (на основании ф. 0503184)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 о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межбюджетных трансфертах за отчетный период, не нашедшая отражения в формах отчетов, таблицах и приложениях  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Сведения о правопреемственности по всем обязательствам реорганизуемого субъекта бюджетной отчетности в отношении всех кредиторов и должников, включая и обязательства, оспариваемые в суде, а также иная информация, характеризующая показатели бухгалтерской отчетности реорганизуемого субъекта бюджетной отчетности за отчетный период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вносимых изменениях в показатели ранее представленной бухгалтерской отчётности по решению уполномоченного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органа  в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период после отчетной даты  и до даты утверждения отчетности на основании выявленных ошибок и существенных событий после отчетной даты (с указанием причин внесения исправлений и их содержания) по ошибкам 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отчетного периода, выявленных в ходе камеральной проверки отчетности, а также в ходе осуществления внутреннего (внешнего) финансового контроля (аудита)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Изменения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вносились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 (информация о существенности ошибки, описание ошибки (содержания и суммы), а также суммовых значений выполненных корректировок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бухгалтерской  отчетности</w:t>
            </w:r>
            <w:proofErr w:type="gramEnd"/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Перечень форм отчетности, не включенных в состав бюджетной отчетности за отчетный период ввиду отсутствия числовых значений показателей (подлежит заполнению при отсутствии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возможности  формирования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 (или) представления бюджетной отчетности средствами программных комплексов)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по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заимствованиям:-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величина затрат, включенных в расходы текущего отчетного периода;- величина обязательств по затратам по заимствованиям на начало и конец отчетного периода;- величина затрат по заимствованиям, включенных в течение отчетного периода в первоначальную стоимость нефинансовых активов, создаваемых с привлечением заимствований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Заимствования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об изменениях вступительного баланса на начало года в связи с внедрением федеральных стандартов бухгалтерского учета, в связи с выявленными ошибками предшествующих годов, отраженных после утверждения бухгалтерской отчетности, в связи с изменением учетной политики, в связи с пересчетом показателей отчетности и иными причинами изменения вступительного баланса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RP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P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678E" w:rsidRP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деятельности и движения денежных средств субъекта отчетности за отчетный </w:t>
            </w:r>
            <w:proofErr w:type="gramStart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период,  также</w:t>
            </w:r>
            <w:proofErr w:type="gramEnd"/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иная информация, характеризующая показатели бухгалтерской отчетности, не нашедшая </w:t>
            </w:r>
            <w:r w:rsidRPr="0037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отражения в таблицах и приложениях, включаемых в раздел</w:t>
            </w:r>
          </w:p>
          <w:p w:rsidR="0037678E" w:rsidRPr="0037678E" w:rsidRDefault="0037678E" w:rsidP="00AF3AAE">
            <w:pPr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678E" w:rsidTr="00AF3AAE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7678E" w:rsidRDefault="0037678E" w:rsidP="00AF3AAE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  <w:sectPr w:rsidR="0037678E">
          <w:pgSz w:w="12240" w:h="15840"/>
          <w:pgMar w:top="1134" w:right="1701" w:bottom="1134" w:left="819" w:header="720" w:footer="720" w:gutter="0"/>
          <w:cols w:space="720"/>
          <w:noEndnote/>
        </w:sect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Информация о причинах отклонений показателей представленных форм отчетности по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внутридокументным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контрольным соотношениям, установленным в автоматизированной информационной системе Департамента финансов (в части допустимых отклонений, требующих пояснений)</w:t>
      </w:r>
    </w:p>
    <w:p w:rsidR="0037678E" w:rsidRDefault="0037678E" w:rsidP="0037678E">
      <w:pPr>
        <w:jc w:val="center"/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709"/>
        <w:gridCol w:w="851"/>
        <w:gridCol w:w="1134"/>
        <w:gridCol w:w="1559"/>
        <w:gridCol w:w="1843"/>
        <w:gridCol w:w="1701"/>
        <w:gridCol w:w="1701"/>
        <w:gridCol w:w="4749"/>
      </w:tblGrid>
      <w:tr w:rsidR="0037678E" w:rsidTr="00AF3AAE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Атрибут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Номер 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Описание КС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Комментарий 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Значение слева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Значение справа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Пояснение</w:t>
            </w:r>
          </w:p>
        </w:tc>
      </w:tr>
      <w:tr w:rsidR="0037678E" w:rsidTr="00AF3AAE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7678E" w:rsidTr="00AF3AAE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7678E" w:rsidRDefault="0037678E" w:rsidP="0037678E">
      <w:pPr>
        <w:jc w:val="center"/>
        <w:rPr>
          <w:rFonts w:ascii="Times New Roman CYR" w:hAnsi="Times New Roman CYR" w:cs="Times New Roman CYR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37678E" w:rsidRDefault="0037678E" w:rsidP="0037678E">
      <w:pPr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37678E" w:rsidRDefault="0037678E" w:rsidP="0037678E">
      <w:pPr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</w:p>
    <w:p w:rsidR="0037678E" w:rsidRDefault="0037678E" w:rsidP="0037678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Информация о причинах отклонений показателей представленных форм отчетности по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междокументным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контрольным соотношениям, установленным в автоматизированной информационной системе Департамента финансов (в части допустимых отклонений, требующих пояснений)</w:t>
      </w:r>
    </w:p>
    <w:p w:rsidR="0037678E" w:rsidRDefault="0037678E" w:rsidP="0037678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296"/>
        <w:gridCol w:w="995"/>
        <w:gridCol w:w="900"/>
        <w:gridCol w:w="779"/>
        <w:gridCol w:w="1276"/>
        <w:gridCol w:w="728"/>
        <w:gridCol w:w="831"/>
        <w:gridCol w:w="1559"/>
        <w:gridCol w:w="1559"/>
        <w:gridCol w:w="4608"/>
      </w:tblGrid>
      <w:tr w:rsidR="0037678E" w:rsidTr="00AF3AAE">
        <w:trPr>
          <w:trHeight w:val="5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Номер КС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Описание КС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Комментарий 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 слева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Атрибут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 справа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Отклонение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Пояснение</w:t>
            </w:r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М266.4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гр4 стр0505+0503123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гр4 стр0507 = 0503127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гр8 (Без промежуточных итогов)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Требуется пояснение: Показатель по КОСГУ 134 + КОСГУ 139 в ф.0503123 не соответствует сумме показателей строк ф.0503127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0503123M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79 074,84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0503127M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141 929,21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-62 854,37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возврат дебиторской задолженность прошлых лет</w:t>
            </w:r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114 300,00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138 341,28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-24 041,28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 под кассовый расход субсидия</w:t>
            </w:r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2 053 087,82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2 049 107,33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3 980,49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  приняты под кассовые расходы оплата подотчетному лицу (возмещение расходов марки, конверты)</w:t>
            </w:r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1 438 620,71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3 173 309,18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-1 734 688,47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кассовые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расходы</w:t>
            </w:r>
            <w:proofErr w:type="spellEnd"/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7 200 000,00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14 328 995,04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-7 128 995,04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кассовые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расходы</w:t>
            </w:r>
            <w:proofErr w:type="spellEnd"/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22 270 300,00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34 883 067,65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-12 612 767,65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кассовые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расходы</w:t>
            </w:r>
            <w:proofErr w:type="spellEnd"/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63 489 530,11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101 195 440,67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-37 705 910,56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кассовые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расходы</w:t>
            </w:r>
            <w:proofErr w:type="spellEnd"/>
          </w:p>
        </w:tc>
      </w:tr>
      <w:tr w:rsidR="0037678E" w:rsidTr="00AF3AAE">
        <w:trPr>
          <w:trHeight w:val="2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17 480 000,00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25 027 392,31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-7 547 392,31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 под кассовые расходы субсидии</w:t>
            </w:r>
          </w:p>
        </w:tc>
      </w:tr>
      <w:tr w:rsidR="0037678E" w:rsidTr="00AF3AAE">
        <w:trPr>
          <w:trHeight w:val="55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RP</w:t>
            </w: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Требует </w:t>
            </w:r>
            <w:proofErr w:type="spellStart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пояснения:Показатель</w:t>
            </w:r>
            <w:proofErr w:type="spellEnd"/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8 627 301,13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13 606 796,91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-4 979 495,78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37678E" w:rsidRDefault="0037678E" w:rsidP="00AF3A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78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 под кассовые расходы субсидии</w:t>
            </w:r>
          </w:p>
        </w:tc>
      </w:tr>
    </w:tbl>
    <w:p w:rsidR="0037678E" w:rsidRPr="0037678E" w:rsidRDefault="0037678E" w:rsidP="0037678E">
      <w:pPr>
        <w:jc w:val="center"/>
        <w:rPr>
          <w:lang w:eastAsia="en-US"/>
        </w:rPr>
      </w:pPr>
    </w:p>
    <w:p w:rsidR="0037678E" w:rsidRPr="0037678E" w:rsidRDefault="0037678E" w:rsidP="0037678E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</w:rPr>
      </w:pPr>
    </w:p>
    <w:p w:rsidR="0037678E" w:rsidRP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eastAsia="en-US"/>
        </w:rPr>
      </w:pPr>
    </w:p>
    <w:p w:rsidR="0037678E" w:rsidRPr="0037678E" w:rsidRDefault="0037678E" w:rsidP="0037678E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7678E" w:rsidRP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eastAsia="en-US"/>
        </w:rPr>
      </w:pPr>
    </w:p>
    <w:p w:rsidR="0037678E" w:rsidRP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5439"/>
        <w:gridCol w:w="4309"/>
      </w:tblGrid>
      <w:tr w:rsidR="0037678E" w:rsidTr="00AF3AAE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Verdana" w:hAnsi="Verdana" w:cs="Verdana"/>
                <w:sz w:val="20"/>
                <w:szCs w:val="20"/>
                <w:lang w:val="en-US" w:eastAsia="en-US"/>
              </w:rPr>
            </w:pPr>
            <w:r w:rsidRPr="007018EF">
              <w:rPr>
                <w:rFonts w:ascii="Verdana" w:hAnsi="Verdana" w:cs="Verdana"/>
                <w:noProof/>
                <w:sz w:val="20"/>
                <w:szCs w:val="20"/>
              </w:rPr>
              <w:drawing>
                <wp:inline distT="0" distB="0" distL="0" distR="0" wp14:anchorId="77BCAF66" wp14:editId="1CA1C615">
                  <wp:extent cx="15525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Недашковский Максим Вячеславович</w:t>
            </w:r>
          </w:p>
        </w:tc>
      </w:tr>
      <w:tr w:rsidR="0037678E" w:rsidTr="00AF3AAE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7678E" w:rsidTr="00AF3AAE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678E" w:rsidTr="00AF3AA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планово-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 w:eastAsia="en-US"/>
              </w:rPr>
              <w:t xml:space="preserve"> </w:t>
            </w:r>
            <w:r w:rsidRPr="007018EF">
              <w:rPr>
                <w:rFonts w:ascii="Verdana" w:hAnsi="Verdana" w:cs="Verdana"/>
                <w:noProof/>
                <w:sz w:val="20"/>
                <w:szCs w:val="20"/>
              </w:rPr>
              <w:drawing>
                <wp:inline distT="0" distB="0" distL="0" distR="0" wp14:anchorId="0538C802" wp14:editId="6E5DA6ED">
                  <wp:extent cx="15525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Анна Николаевна</w:t>
            </w:r>
          </w:p>
        </w:tc>
      </w:tr>
      <w:tr w:rsidR="0037678E" w:rsidTr="00AF3AA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экономической 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7678E" w:rsidTr="00AF3AAE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678E" w:rsidTr="00AF3AA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18EF">
              <w:rPr>
                <w:rFonts w:ascii="Verdana" w:hAnsi="Verdana" w:cs="Verdana"/>
                <w:noProof/>
                <w:sz w:val="20"/>
                <w:szCs w:val="20"/>
              </w:rPr>
              <w:drawing>
                <wp:inline distT="0" distB="0" distL="0" distR="0" wp14:anchorId="19D9C6C3" wp14:editId="52AAF9A3">
                  <wp:extent cx="1552575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Сливина Татьяна Николаевна</w:t>
            </w:r>
          </w:p>
        </w:tc>
      </w:tr>
      <w:tr w:rsidR="0037678E" w:rsidTr="00AF3AA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8E" w:rsidRDefault="0037678E" w:rsidP="00A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7678E" w:rsidRDefault="0037678E" w:rsidP="0037678E">
      <w:bookmarkStart w:id="1" w:name="_dx_frag_EndFragment"/>
      <w:bookmarkEnd w:id="1"/>
    </w:p>
    <w:p w:rsidR="0037678E" w:rsidRDefault="0037678E" w:rsidP="0037678E">
      <w:pPr>
        <w:jc w:val="both"/>
        <w:rPr>
          <w:rFonts w:ascii="Times New Roman CYR" w:hAnsi="Times New Roman CYR" w:cs="Times New Roman CYR"/>
          <w:color w:val="004DBB"/>
          <w:lang w:val="en-US" w:eastAsia="en-US"/>
        </w:rPr>
      </w:pPr>
      <w:bookmarkStart w:id="2" w:name="_dx_frag_StartFragment"/>
      <w:bookmarkEnd w:id="2"/>
    </w:p>
    <w:p w:rsidR="0037678E" w:rsidRDefault="0037678E" w:rsidP="0037678E">
      <w:pPr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1061FE" w:rsidRDefault="001061FE"/>
    <w:sectPr w:rsidR="001061FE">
      <w:pgSz w:w="15840" w:h="12240" w:orient="landscape"/>
      <w:pgMar w:top="1134" w:right="81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8E"/>
    <w:rsid w:val="001061FE"/>
    <w:rsid w:val="0037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B62E7-3418-474E-9B6C-21B0CE7F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61">
    <w:name w:val="style461"/>
    <w:basedOn w:val="a0"/>
    <w:uiPriority w:val="99"/>
    <w:rsid w:val="0037678E"/>
    <w:rPr>
      <w:rFonts w:ascii="Times New Roman" w:hAnsi="Times New Roman" w:cs="Times New Roman"/>
      <w:sz w:val="15"/>
      <w:szCs w:val="15"/>
    </w:rPr>
  </w:style>
  <w:style w:type="table" w:styleId="1">
    <w:name w:val="Table Simple 1"/>
    <w:basedOn w:val="a1"/>
    <w:uiPriority w:val="99"/>
    <w:rsid w:val="003767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Канова Анна Михайловна</dc:creator>
  <cp:keywords/>
  <dc:description/>
  <cp:lastModifiedBy>Канова Анна Михайловна</cp:lastModifiedBy>
  <cp:revision>1</cp:revision>
  <dcterms:created xsi:type="dcterms:W3CDTF">2023-02-02T12:20:00Z</dcterms:created>
  <dcterms:modified xsi:type="dcterms:W3CDTF">2023-02-02T12:20:00Z</dcterms:modified>
</cp:coreProperties>
</file>